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7A2EB" w14:textId="77777777" w:rsidR="007B3FB5" w:rsidRPr="007B3FB5" w:rsidRDefault="007B3FB5">
      <w:pPr>
        <w:jc w:val="both"/>
        <w:rPr>
          <w:rFonts w:ascii="Times New Roman"/>
        </w:rPr>
      </w:pPr>
    </w:p>
    <w:p w14:paraId="41383E26" w14:textId="77777777" w:rsidR="007B3FB5" w:rsidRPr="007B3FB5" w:rsidRDefault="007B3FB5" w:rsidP="007B3FB5">
      <w:pPr>
        <w:rPr>
          <w:rFonts w:ascii="Times New Roman"/>
          <w:sz w:val="20"/>
        </w:rPr>
      </w:pPr>
    </w:p>
    <w:p w14:paraId="25B514A5" w14:textId="2CE75A60" w:rsidR="007B3FB5" w:rsidRPr="007B3FB5" w:rsidRDefault="007B3FB5" w:rsidP="007B3FB5">
      <w:pPr>
        <w:rPr>
          <w:rFonts w:ascii="Times New Roman"/>
          <w:sz w:val="20"/>
        </w:rPr>
      </w:pPr>
      <w:r w:rsidRPr="007B3FB5">
        <w:rPr>
          <w:rFonts w:ascii="Times New Roman"/>
          <w:sz w:val="20"/>
        </w:rPr>
        <w:t xml:space="preserve">               </w:t>
      </w:r>
      <w:r w:rsidRPr="007B3FB5">
        <w:rPr>
          <w:rFonts w:ascii="Times New Roman"/>
          <w:noProof/>
          <w:sz w:val="20"/>
        </w:rPr>
        <w:drawing>
          <wp:inline distT="0" distB="0" distL="0" distR="0" wp14:anchorId="3AF76DB3" wp14:editId="3115D05D">
            <wp:extent cx="52387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B371" w14:textId="77777777" w:rsidR="007B3FB5" w:rsidRPr="007B3FB5" w:rsidRDefault="007B3FB5" w:rsidP="007B3FB5">
      <w:pPr>
        <w:ind w:right="6398"/>
        <w:rPr>
          <w:rFonts w:ascii="Times New Roman"/>
        </w:rPr>
      </w:pPr>
      <w:r w:rsidRPr="007B3FB5">
        <w:rPr>
          <w:rFonts w:ascii="Times New Roman"/>
        </w:rPr>
        <w:t>REPUBLIKA HRVATSKA</w:t>
      </w:r>
    </w:p>
    <w:p w14:paraId="3D21C40D" w14:textId="77777777" w:rsidR="007B3FB5" w:rsidRPr="007B3FB5" w:rsidRDefault="007B3FB5" w:rsidP="007B3FB5">
      <w:pPr>
        <w:pStyle w:val="Naslov1"/>
        <w:ind w:right="6398"/>
        <w:rPr>
          <w:rFonts w:ascii="Times New Roman" w:hAnsi="Times New Roman" w:cs="Times New Roman"/>
          <w:b w:val="0"/>
          <w:i w:val="0"/>
          <w:spacing w:val="-20"/>
          <w:sz w:val="22"/>
          <w:szCs w:val="22"/>
        </w:rPr>
      </w:pPr>
      <w:r w:rsidRPr="007B3FB5">
        <w:rPr>
          <w:rFonts w:ascii="Times New Roman" w:hAnsi="Times New Roman" w:cs="Times New Roman"/>
          <w:b w:val="0"/>
          <w:i w:val="0"/>
          <w:spacing w:val="-20"/>
          <w:sz w:val="22"/>
          <w:szCs w:val="22"/>
        </w:rPr>
        <w:t xml:space="preserve">VUKOVARSKO-SRIJEMSKA  </w:t>
      </w:r>
    </w:p>
    <w:p w14:paraId="536B03EF" w14:textId="77777777" w:rsidR="007B3FB5" w:rsidRPr="007B3FB5" w:rsidRDefault="007B3FB5" w:rsidP="007B3FB5">
      <w:pPr>
        <w:pStyle w:val="Naslov1"/>
        <w:ind w:right="6398"/>
        <w:rPr>
          <w:rFonts w:ascii="Times New Roman" w:hAnsi="Times New Roman" w:cs="Times New Roman"/>
          <w:b w:val="0"/>
          <w:i w:val="0"/>
          <w:spacing w:val="-20"/>
          <w:sz w:val="22"/>
          <w:szCs w:val="22"/>
        </w:rPr>
      </w:pPr>
      <w:r w:rsidRPr="007B3FB5">
        <w:rPr>
          <w:rFonts w:ascii="Times New Roman" w:hAnsi="Times New Roman" w:cs="Times New Roman"/>
          <w:b w:val="0"/>
          <w:i w:val="0"/>
          <w:spacing w:val="-20"/>
          <w:sz w:val="22"/>
          <w:szCs w:val="22"/>
        </w:rPr>
        <w:t xml:space="preserve">                 ŽUPANIJA</w:t>
      </w:r>
    </w:p>
    <w:p w14:paraId="4B82C02A" w14:textId="77777777" w:rsidR="007B3FB5" w:rsidRPr="007B3FB5" w:rsidRDefault="007B3FB5" w:rsidP="007B3FB5">
      <w:pPr>
        <w:ind w:right="6398"/>
        <w:rPr>
          <w:rFonts w:ascii="Times New Roman"/>
          <w:smallCaps/>
          <w:spacing w:val="20"/>
        </w:rPr>
      </w:pPr>
      <w:r w:rsidRPr="007B3FB5">
        <w:rPr>
          <w:rFonts w:ascii="Times New Roman"/>
          <w:smallCaps/>
          <w:spacing w:val="20"/>
        </w:rPr>
        <w:t xml:space="preserve">     OPĆINA STARI  </w:t>
      </w:r>
    </w:p>
    <w:p w14:paraId="7212EB03" w14:textId="77777777" w:rsidR="007B3FB5" w:rsidRPr="007B3FB5" w:rsidRDefault="007B3FB5" w:rsidP="007B3FB5">
      <w:pPr>
        <w:ind w:right="6398"/>
        <w:rPr>
          <w:rFonts w:ascii="Times New Roman"/>
          <w:smallCaps/>
          <w:spacing w:val="20"/>
        </w:rPr>
      </w:pPr>
      <w:r w:rsidRPr="007B3FB5">
        <w:rPr>
          <w:rFonts w:ascii="Times New Roman"/>
          <w:smallCaps/>
          <w:spacing w:val="20"/>
        </w:rPr>
        <w:t xml:space="preserve">         JANKOVCI</w:t>
      </w:r>
    </w:p>
    <w:p w14:paraId="5ACED789" w14:textId="30493844" w:rsidR="007B3FB5" w:rsidRPr="007B3FB5" w:rsidRDefault="007B3FB5" w:rsidP="007B3FB5">
      <w:pPr>
        <w:rPr>
          <w:rFonts w:ascii="Times New Roman"/>
          <w:b/>
        </w:rPr>
      </w:pPr>
      <w:r w:rsidRPr="007B3FB5">
        <w:rPr>
          <w:rFonts w:ascii="Times New Roman"/>
          <w:b/>
        </w:rPr>
        <w:t xml:space="preserve">      Općinski načelnik</w:t>
      </w:r>
    </w:p>
    <w:p w14:paraId="4C2F8FF1" w14:textId="03570242" w:rsidR="007B3FB5" w:rsidRPr="007B3FB5" w:rsidRDefault="007B3FB5" w:rsidP="007B3FB5">
      <w:pPr>
        <w:pStyle w:val="Naslov2"/>
        <w:rPr>
          <w:rFonts w:ascii="Times New Roman" w:hAnsi="Times New Roman" w:cs="Times New Roman"/>
          <w:i w:val="0"/>
          <w:sz w:val="22"/>
        </w:rPr>
      </w:pPr>
      <w:r w:rsidRPr="007B3FB5">
        <w:rPr>
          <w:rFonts w:ascii="Times New Roman" w:hAnsi="Times New Roman" w:cs="Times New Roman"/>
          <w:i w:val="0"/>
          <w:sz w:val="22"/>
        </w:rPr>
        <w:t>KLASA:026-02/20-</w:t>
      </w:r>
      <w:r w:rsidR="00DA2C7B">
        <w:rPr>
          <w:rFonts w:ascii="Times New Roman" w:hAnsi="Times New Roman" w:cs="Times New Roman"/>
          <w:i w:val="0"/>
          <w:sz w:val="22"/>
        </w:rPr>
        <w:t>95/01</w:t>
      </w:r>
    </w:p>
    <w:p w14:paraId="57B1DCFA" w14:textId="24B315E5" w:rsidR="007B3FB5" w:rsidRPr="007B3FB5" w:rsidRDefault="007B3FB5" w:rsidP="007B3FB5">
      <w:pPr>
        <w:pStyle w:val="Naslov2"/>
        <w:rPr>
          <w:rFonts w:ascii="Times New Roman" w:hAnsi="Times New Roman" w:cs="Times New Roman"/>
          <w:i w:val="0"/>
          <w:sz w:val="22"/>
        </w:rPr>
      </w:pPr>
      <w:r w:rsidRPr="007B3FB5">
        <w:rPr>
          <w:rFonts w:ascii="Times New Roman" w:hAnsi="Times New Roman" w:cs="Times New Roman"/>
          <w:i w:val="0"/>
          <w:sz w:val="22"/>
        </w:rPr>
        <w:t>URBROJ:2188/10-0</w:t>
      </w:r>
      <w:r>
        <w:rPr>
          <w:rFonts w:ascii="Times New Roman" w:hAnsi="Times New Roman" w:cs="Times New Roman"/>
          <w:i w:val="0"/>
          <w:sz w:val="22"/>
        </w:rPr>
        <w:t>2</w:t>
      </w:r>
      <w:r w:rsidRPr="007B3FB5">
        <w:rPr>
          <w:rFonts w:ascii="Times New Roman" w:hAnsi="Times New Roman" w:cs="Times New Roman"/>
          <w:i w:val="0"/>
          <w:sz w:val="22"/>
        </w:rPr>
        <w:t>-20-</w:t>
      </w:r>
      <w:r w:rsidR="00DA2C7B">
        <w:rPr>
          <w:rFonts w:ascii="Times New Roman" w:hAnsi="Times New Roman" w:cs="Times New Roman"/>
          <w:i w:val="0"/>
          <w:sz w:val="22"/>
        </w:rPr>
        <w:t>12</w:t>
      </w:r>
    </w:p>
    <w:p w14:paraId="3DF38E5D" w14:textId="6359F3A5" w:rsidR="007B3FB5" w:rsidRPr="007B3FB5" w:rsidRDefault="007B3FB5" w:rsidP="007B3FB5">
      <w:pPr>
        <w:rPr>
          <w:rFonts w:ascii="Times New Roman"/>
        </w:rPr>
      </w:pPr>
      <w:r w:rsidRPr="007B3FB5">
        <w:rPr>
          <w:rFonts w:ascii="Times New Roman"/>
        </w:rPr>
        <w:t xml:space="preserve">U Starim </w:t>
      </w:r>
      <w:proofErr w:type="spellStart"/>
      <w:r w:rsidRPr="007B3FB5">
        <w:rPr>
          <w:rFonts w:ascii="Times New Roman"/>
        </w:rPr>
        <w:t>Jankovcima</w:t>
      </w:r>
      <w:proofErr w:type="spellEnd"/>
      <w:r w:rsidRPr="007B3FB5">
        <w:rPr>
          <w:rFonts w:ascii="Times New Roman"/>
        </w:rPr>
        <w:t xml:space="preserve">,  </w:t>
      </w:r>
      <w:r w:rsidR="00DA2C7B">
        <w:rPr>
          <w:rFonts w:ascii="Times New Roman"/>
        </w:rPr>
        <w:t xml:space="preserve">27. </w:t>
      </w:r>
      <w:r w:rsidR="00337ABC">
        <w:rPr>
          <w:rFonts w:ascii="Times New Roman"/>
        </w:rPr>
        <w:t xml:space="preserve">siječnja </w:t>
      </w:r>
      <w:r w:rsidRPr="007B3FB5">
        <w:rPr>
          <w:rFonts w:ascii="Times New Roman"/>
        </w:rPr>
        <w:t>2020. godin</w:t>
      </w:r>
      <w:r>
        <w:rPr>
          <w:rFonts w:ascii="Times New Roman"/>
        </w:rPr>
        <w:t>e</w:t>
      </w:r>
    </w:p>
    <w:p w14:paraId="54DA4261" w14:textId="77777777" w:rsidR="007B3FB5" w:rsidRPr="007B3FB5" w:rsidRDefault="007B3FB5">
      <w:pPr>
        <w:jc w:val="both"/>
        <w:rPr>
          <w:rFonts w:ascii="Times New Roman"/>
        </w:rPr>
      </w:pPr>
    </w:p>
    <w:p w14:paraId="08AF2D32" w14:textId="77777777" w:rsidR="007B3FB5" w:rsidRPr="007B3FB5" w:rsidRDefault="007B3FB5">
      <w:pPr>
        <w:jc w:val="both"/>
        <w:rPr>
          <w:rFonts w:ascii="Times New Roman"/>
        </w:rPr>
      </w:pPr>
    </w:p>
    <w:p w14:paraId="287C1326" w14:textId="77777777" w:rsidR="007B3FB5" w:rsidRPr="007B3FB5" w:rsidRDefault="007B3FB5">
      <w:pPr>
        <w:jc w:val="both"/>
        <w:rPr>
          <w:rFonts w:ascii="Times New Roman"/>
          <w:sz w:val="24"/>
          <w:szCs w:val="24"/>
        </w:rPr>
      </w:pPr>
    </w:p>
    <w:p w14:paraId="032A2C62" w14:textId="3E49BFD5" w:rsidR="008A4D3F" w:rsidRPr="007B3FB5" w:rsidRDefault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Na temelju članka 18. i 27. Pravilnika o proračunskom računovodstvu i računskom planu (Narodne novine broj 124/14, 115/15, 87/16, 3/18 i 126/19) i članka </w:t>
      </w:r>
      <w:r>
        <w:rPr>
          <w:rFonts w:ascii="Times New Roman"/>
          <w:sz w:val="24"/>
          <w:szCs w:val="24"/>
        </w:rPr>
        <w:t>47</w:t>
      </w:r>
      <w:r w:rsidRPr="007B3FB5">
        <w:rPr>
          <w:rFonts w:ascii="Times New Roman"/>
          <w:sz w:val="24"/>
          <w:szCs w:val="24"/>
        </w:rPr>
        <w:t>. Statuta Općine</w:t>
      </w:r>
      <w:r w:rsidR="007B3FB5">
        <w:rPr>
          <w:rFonts w:ascii="Times New Roman"/>
          <w:sz w:val="24"/>
          <w:szCs w:val="24"/>
        </w:rPr>
        <w:t xml:space="preserve"> Stari Jankovci</w:t>
      </w:r>
      <w:r w:rsidRPr="007B3FB5">
        <w:rPr>
          <w:rFonts w:ascii="Times New Roman"/>
          <w:sz w:val="24"/>
          <w:szCs w:val="24"/>
        </w:rPr>
        <w:t xml:space="preserve"> (Služben</w:t>
      </w:r>
      <w:r w:rsidR="007B3FB5" w:rsidRPr="007B3FB5">
        <w:rPr>
          <w:rFonts w:ascii="Times New Roman"/>
          <w:sz w:val="24"/>
          <w:szCs w:val="24"/>
        </w:rPr>
        <w:t>i vjesnik Vukovarske</w:t>
      </w:r>
      <w:r w:rsidR="007B3FB5" w:rsidRPr="007B3FB5">
        <w:rPr>
          <w:rFonts w:ascii="Times New Roman"/>
        </w:rPr>
        <w:t xml:space="preserve"> br. 5/13, 2/18 i 3/20</w:t>
      </w:r>
      <w:r w:rsidRPr="007B3FB5">
        <w:rPr>
          <w:rFonts w:ascii="Times New Roman"/>
          <w:sz w:val="24"/>
          <w:szCs w:val="24"/>
        </w:rPr>
        <w:t xml:space="preserve">) Općinski načelnik donosi </w:t>
      </w:r>
    </w:p>
    <w:p w14:paraId="03F56E5E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7997B98E" w14:textId="77777777" w:rsidR="008A4D3F" w:rsidRPr="007B3FB5" w:rsidRDefault="00917597">
      <w:pPr>
        <w:jc w:val="center"/>
        <w:rPr>
          <w:rFonts w:ascii="Times New Roman"/>
          <w:b/>
          <w:sz w:val="24"/>
          <w:szCs w:val="24"/>
        </w:rPr>
      </w:pPr>
      <w:r w:rsidRPr="007B3FB5">
        <w:rPr>
          <w:rFonts w:ascii="Times New Roman"/>
          <w:b/>
          <w:sz w:val="24"/>
          <w:szCs w:val="24"/>
        </w:rPr>
        <w:t>ODLUKU</w:t>
      </w:r>
    </w:p>
    <w:p w14:paraId="4CB67044" w14:textId="77777777" w:rsidR="008A4D3F" w:rsidRPr="007B3FB5" w:rsidRDefault="008A4D3F">
      <w:pPr>
        <w:jc w:val="both"/>
        <w:rPr>
          <w:rFonts w:ascii="Times New Roman"/>
          <w:b/>
          <w:sz w:val="24"/>
          <w:szCs w:val="24"/>
        </w:rPr>
      </w:pPr>
    </w:p>
    <w:p w14:paraId="0DFDBCCB" w14:textId="77777777" w:rsidR="008A4D3F" w:rsidRPr="007B3FB5" w:rsidRDefault="00917597">
      <w:pPr>
        <w:jc w:val="center"/>
        <w:rPr>
          <w:rFonts w:ascii="Times New Roman"/>
          <w:b/>
          <w:sz w:val="24"/>
          <w:szCs w:val="24"/>
        </w:rPr>
      </w:pPr>
      <w:r w:rsidRPr="007B3FB5">
        <w:rPr>
          <w:rFonts w:ascii="Times New Roman"/>
          <w:b/>
          <w:sz w:val="24"/>
          <w:szCs w:val="24"/>
        </w:rPr>
        <w:t xml:space="preserve">o razvrstavanju dugotrajne nefinancijske imovine u proizvedenu dugotrajnu nefinancijsku imovinu ili sitni inventar te </w:t>
      </w:r>
    </w:p>
    <w:p w14:paraId="5A407449" w14:textId="77777777" w:rsidR="008A4D3F" w:rsidRPr="007B3FB5" w:rsidRDefault="00917597">
      <w:pPr>
        <w:jc w:val="center"/>
        <w:rPr>
          <w:rFonts w:ascii="Times New Roman"/>
          <w:b/>
          <w:sz w:val="24"/>
          <w:szCs w:val="24"/>
        </w:rPr>
      </w:pPr>
      <w:r w:rsidRPr="007B3FB5">
        <w:rPr>
          <w:rFonts w:ascii="Times New Roman"/>
          <w:b/>
          <w:sz w:val="24"/>
          <w:szCs w:val="24"/>
        </w:rPr>
        <w:t>o jednokratnom ispravku vrijednosti proizvedene dugotrajne nefinancijske imovine</w:t>
      </w:r>
    </w:p>
    <w:p w14:paraId="75BA0BBA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7D60DE65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0840C467" w14:textId="77777777" w:rsidR="008A4D3F" w:rsidRPr="007B3FB5" w:rsidRDefault="00917597">
      <w:pPr>
        <w:jc w:val="center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Članak 1.</w:t>
      </w:r>
    </w:p>
    <w:p w14:paraId="37BB52B3" w14:textId="77777777" w:rsidR="008A4D3F" w:rsidRPr="007B3FB5" w:rsidRDefault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Ovom odlukom utvrđuju se kriteriji prema kojima se razvrstava proizvedena dugotrajna nefinancijska imovina i sitni inventar te način ispravka vrijednosti dugotrajne nefinancijske imovine i sitnog inventara.  </w:t>
      </w:r>
    </w:p>
    <w:p w14:paraId="2860681B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1586ADCD" w14:textId="77777777" w:rsidR="008A4D3F" w:rsidRPr="007B3FB5" w:rsidRDefault="00917597">
      <w:pPr>
        <w:jc w:val="center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Članak 2.</w:t>
      </w:r>
    </w:p>
    <w:p w14:paraId="6AC64AB7" w14:textId="596C9A29" w:rsidR="008A4D3F" w:rsidRDefault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Dugotrajna nefinancijska imovina je imovina čiji je vijek upotrebe duži od jedne godine i koja duže od jedne godine zadržava isti pojavni oblik. </w:t>
      </w:r>
      <w:r>
        <w:rPr>
          <w:rFonts w:ascii="Times New Roman"/>
          <w:sz w:val="24"/>
          <w:szCs w:val="24"/>
        </w:rPr>
        <w:t>Proizvedenu dugotrajnu nefinancijsku imovinu čine: građevinski objekti (podskupina 021), postrojenja i oprema (podskupina 022), prijevozna sredstva (podskupina 023), knjige, umjetnička djela i ostale izložbene vrijednosti  (podskupina 024), višegodišnji nasadi i osnovno stado (podskupina 025) te nematerijalna proizvedena imovina (podskupina 026).</w:t>
      </w:r>
    </w:p>
    <w:p w14:paraId="3662E98B" w14:textId="0BA63A63" w:rsidR="00917597" w:rsidRDefault="00917597">
      <w:pPr>
        <w:jc w:val="both"/>
        <w:rPr>
          <w:rFonts w:ascii="Times New Roman"/>
          <w:sz w:val="24"/>
          <w:szCs w:val="24"/>
        </w:rPr>
      </w:pPr>
    </w:p>
    <w:p w14:paraId="3084BBCF" w14:textId="68DBBDEC" w:rsidR="00917597" w:rsidRPr="007B3FB5" w:rsidRDefault="00917597" w:rsidP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Imovina čiji je vijek trajanja duži od godine dana i čiji je pojedinačni trošak nabave veći od 3.500 kuna razvrstava se u dugotrajnu nefinancijsku imovinu te se vrijednost imovine ispravlja po prosječnim godišnjim stopama</w:t>
      </w:r>
      <w:r w:rsidR="00CF674B">
        <w:rPr>
          <w:rFonts w:ascii="Times New Roman"/>
          <w:sz w:val="24"/>
          <w:szCs w:val="24"/>
        </w:rPr>
        <w:t>.</w:t>
      </w:r>
    </w:p>
    <w:p w14:paraId="082A6BD5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52B33635" w14:textId="0D4249E2" w:rsidR="00917597" w:rsidRDefault="00917597" w:rsidP="00917597">
      <w:pPr>
        <w:jc w:val="center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Članak 3</w:t>
      </w:r>
      <w:r>
        <w:rPr>
          <w:rFonts w:ascii="Times New Roman"/>
          <w:sz w:val="24"/>
          <w:szCs w:val="24"/>
        </w:rPr>
        <w:t>.</w:t>
      </w:r>
    </w:p>
    <w:p w14:paraId="4CCA7048" w14:textId="616B084A" w:rsidR="00917597" w:rsidRDefault="00917597" w:rsidP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Sitni inventar čine predmeti proizvedene nefinancijske imovine male vrijednosti koji se ne utroše jednokratnom upotrebom u procesu poslovanja.</w:t>
      </w:r>
    </w:p>
    <w:p w14:paraId="6229DF9D" w14:textId="7B7476FA" w:rsidR="00CF674B" w:rsidRDefault="00CF674B" w:rsidP="00917597">
      <w:pPr>
        <w:jc w:val="both"/>
        <w:rPr>
          <w:rFonts w:ascii="Times New Roman"/>
          <w:sz w:val="24"/>
          <w:szCs w:val="24"/>
        </w:rPr>
      </w:pPr>
    </w:p>
    <w:p w14:paraId="6E36D1F1" w14:textId="2FFB38FA" w:rsidR="00CF674B" w:rsidRDefault="00CF674B" w:rsidP="00CF674B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lastRenderedPageBreak/>
        <w:t>Imovina čiji je vijek trajanja duži od godine dana i čiji je pojedinačni trošak nabave niži od 3.500 kuna razvrstava se u sitni inventar te se vrijednost imovine otpisuje jednokratno stavljanjem u upotrebu.</w:t>
      </w:r>
      <w:r>
        <w:rPr>
          <w:rFonts w:ascii="Times New Roman"/>
          <w:sz w:val="24"/>
          <w:szCs w:val="24"/>
        </w:rPr>
        <w:t xml:space="preserve"> To se odnosi na sljedeća sredstva:</w:t>
      </w:r>
    </w:p>
    <w:p w14:paraId="53C59374" w14:textId="4EF4A01D" w:rsidR="00CF674B" w:rsidRDefault="00CF674B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-posuđe, pribor za jelo, čaše i slično</w:t>
      </w:r>
    </w:p>
    <w:p w14:paraId="19AF5E97" w14:textId="4B0448DE" w:rsidR="00CF674B" w:rsidRDefault="00CF674B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</w:t>
      </w:r>
      <w:r w:rsidR="003C6E04">
        <w:rPr>
          <w:rFonts w:ascii="Times New Roman"/>
          <w:sz w:val="24"/>
          <w:szCs w:val="24"/>
        </w:rPr>
        <w:t>zavjese</w:t>
      </w:r>
    </w:p>
    <w:p w14:paraId="7E6C4FA0" w14:textId="0AABB99C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-tepisi</w:t>
      </w:r>
    </w:p>
    <w:p w14:paraId="78FC42DA" w14:textId="057628CA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-stolnjaci</w:t>
      </w:r>
    </w:p>
    <w:p w14:paraId="701ACF9C" w14:textId="1365190D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-oruđe i  aparati za održavanje</w:t>
      </w:r>
    </w:p>
    <w:p w14:paraId="2FDCFC33" w14:textId="5B9D9C04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-uredski pribor (klamerica, bušači, kalkulatori, škare i slično)</w:t>
      </w:r>
    </w:p>
    <w:p w14:paraId="48771D92" w14:textId="4CA491F3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-plastifikatori, strojevi za uvezivanje, rezači papira</w:t>
      </w:r>
    </w:p>
    <w:p w14:paraId="607FF4C9" w14:textId="3F23E497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-predmeti za održavanje čistoće (metle, kante, usisavači i slično)</w:t>
      </w:r>
    </w:p>
    <w:p w14:paraId="5F053A8A" w14:textId="7F9FF3DD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-koševi za smeće</w:t>
      </w:r>
    </w:p>
    <w:p w14:paraId="365B565A" w14:textId="6347B830" w:rsidR="003C6E04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-razni ukrasi</w:t>
      </w:r>
    </w:p>
    <w:p w14:paraId="5171EA78" w14:textId="2B8A5395" w:rsidR="007C1FCA" w:rsidRDefault="007C1FCA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</w:t>
      </w:r>
      <w:r w:rsidR="003C5725">
        <w:rPr>
          <w:rFonts w:ascii="Times New Roman"/>
          <w:sz w:val="24"/>
          <w:szCs w:val="24"/>
        </w:rPr>
        <w:t>gume</w:t>
      </w:r>
    </w:p>
    <w:p w14:paraId="74B534F8" w14:textId="2B7C1B0F" w:rsidR="003C5725" w:rsidRDefault="003C5725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-radna odjeća</w:t>
      </w:r>
    </w:p>
    <w:p w14:paraId="0D9E507B" w14:textId="7D6AF0FB" w:rsidR="003C6E04" w:rsidRPr="007B3FB5" w:rsidRDefault="003C6E04" w:rsidP="00CF674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-drugi slični predmeti</w:t>
      </w:r>
    </w:p>
    <w:p w14:paraId="4820F28D" w14:textId="77777777" w:rsidR="00CF674B" w:rsidRPr="007B3FB5" w:rsidRDefault="00CF674B" w:rsidP="00CF674B">
      <w:pPr>
        <w:jc w:val="both"/>
        <w:rPr>
          <w:rFonts w:ascii="Times New Roman"/>
          <w:sz w:val="24"/>
          <w:szCs w:val="24"/>
        </w:rPr>
      </w:pPr>
    </w:p>
    <w:p w14:paraId="346EBFD9" w14:textId="77777777" w:rsidR="008A4D3F" w:rsidRPr="003C6E04" w:rsidRDefault="008A4D3F" w:rsidP="003C6E04">
      <w:pPr>
        <w:rPr>
          <w:rFonts w:ascii="Times New Roman"/>
          <w:sz w:val="24"/>
          <w:szCs w:val="24"/>
        </w:rPr>
      </w:pPr>
    </w:p>
    <w:p w14:paraId="17C2B7DC" w14:textId="33796E8A" w:rsidR="008A4D3F" w:rsidRPr="007B3FB5" w:rsidRDefault="00917597">
      <w:pPr>
        <w:jc w:val="center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Članak </w:t>
      </w:r>
      <w:r w:rsidR="003C6E04">
        <w:rPr>
          <w:rFonts w:ascii="Times New Roman"/>
          <w:sz w:val="24"/>
          <w:szCs w:val="24"/>
        </w:rPr>
        <w:t>4</w:t>
      </w:r>
      <w:r w:rsidRPr="007B3FB5">
        <w:rPr>
          <w:rFonts w:ascii="Times New Roman"/>
          <w:sz w:val="24"/>
          <w:szCs w:val="24"/>
        </w:rPr>
        <w:t>.</w:t>
      </w:r>
    </w:p>
    <w:p w14:paraId="2414261A" w14:textId="77777777" w:rsidR="008A4D3F" w:rsidRPr="007B3FB5" w:rsidRDefault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Predmeti iste vrste dugotrajne nefinancijske imovine razvrstavaju se u istu skupinu računa.</w:t>
      </w:r>
    </w:p>
    <w:p w14:paraId="3406693F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75005965" w14:textId="11F7B6A4" w:rsidR="008A4D3F" w:rsidRPr="007B3FB5" w:rsidRDefault="00917597">
      <w:pPr>
        <w:jc w:val="center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Članak </w:t>
      </w:r>
      <w:r w:rsidR="003C6E04">
        <w:rPr>
          <w:rFonts w:ascii="Times New Roman"/>
          <w:sz w:val="24"/>
          <w:szCs w:val="24"/>
        </w:rPr>
        <w:t>5</w:t>
      </w:r>
      <w:r w:rsidRPr="007B3FB5">
        <w:rPr>
          <w:rFonts w:ascii="Times New Roman"/>
          <w:sz w:val="24"/>
          <w:szCs w:val="24"/>
        </w:rPr>
        <w:t>.</w:t>
      </w:r>
    </w:p>
    <w:p w14:paraId="29726AC8" w14:textId="7E5AE79F" w:rsidR="008A4D3F" w:rsidRPr="007B3FB5" w:rsidRDefault="00917597">
      <w:pPr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Ova Odluka stupa na snagu danom donošenja, a objavit će se na službenoj mrežnoj stranici Općine </w:t>
      </w:r>
      <w:r w:rsidR="007B3FB5">
        <w:rPr>
          <w:rFonts w:ascii="Times New Roman"/>
          <w:sz w:val="24"/>
          <w:szCs w:val="24"/>
        </w:rPr>
        <w:t>Stari Jankovci</w:t>
      </w:r>
      <w:r w:rsidRPr="007B3FB5">
        <w:rPr>
          <w:rFonts w:ascii="Times New Roman"/>
          <w:sz w:val="24"/>
          <w:szCs w:val="24"/>
        </w:rPr>
        <w:t>.</w:t>
      </w:r>
    </w:p>
    <w:p w14:paraId="2577547F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6DF15DCE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6668C8EC" w14:textId="77777777" w:rsidR="008A4D3F" w:rsidRPr="007B3FB5" w:rsidRDefault="00917597">
      <w:pPr>
        <w:ind w:left="5664" w:firstLine="708"/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>OPĆINSKI NAČELNIK</w:t>
      </w:r>
    </w:p>
    <w:p w14:paraId="5CF10410" w14:textId="5FFA775F" w:rsidR="008A4D3F" w:rsidRPr="007B3FB5" w:rsidRDefault="008A4D3F">
      <w:pPr>
        <w:ind w:left="5664" w:firstLine="708"/>
        <w:jc w:val="both"/>
        <w:rPr>
          <w:rFonts w:ascii="Times New Roman"/>
          <w:sz w:val="24"/>
          <w:szCs w:val="24"/>
        </w:rPr>
      </w:pPr>
    </w:p>
    <w:p w14:paraId="26C26AFA" w14:textId="0B8ECF24" w:rsidR="007B3FB5" w:rsidRPr="007B3FB5" w:rsidRDefault="007B3FB5">
      <w:pPr>
        <w:pBdr>
          <w:bottom w:val="single" w:sz="12" w:space="1" w:color="auto"/>
        </w:pBdr>
        <w:ind w:left="5664" w:firstLine="708"/>
        <w:jc w:val="both"/>
        <w:rPr>
          <w:rFonts w:ascii="Times New Roman"/>
          <w:sz w:val="24"/>
          <w:szCs w:val="24"/>
        </w:rPr>
      </w:pPr>
    </w:p>
    <w:p w14:paraId="4763C179" w14:textId="660E6512" w:rsidR="007B3FB5" w:rsidRPr="007B3FB5" w:rsidRDefault="007B3FB5">
      <w:pPr>
        <w:ind w:left="5664" w:firstLine="708"/>
        <w:jc w:val="both"/>
        <w:rPr>
          <w:rFonts w:ascii="Times New Roman"/>
          <w:sz w:val="24"/>
          <w:szCs w:val="24"/>
        </w:rPr>
      </w:pPr>
      <w:r w:rsidRPr="007B3FB5">
        <w:rPr>
          <w:rFonts w:ascii="Times New Roman"/>
          <w:sz w:val="24"/>
          <w:szCs w:val="24"/>
        </w:rPr>
        <w:t xml:space="preserve">Dragan Sudarević, </w:t>
      </w:r>
      <w:proofErr w:type="spellStart"/>
      <w:r w:rsidRPr="007B3FB5">
        <w:rPr>
          <w:rFonts w:ascii="Times New Roman"/>
          <w:sz w:val="24"/>
          <w:szCs w:val="24"/>
        </w:rPr>
        <w:t>ing.el</w:t>
      </w:r>
      <w:proofErr w:type="spellEnd"/>
      <w:r w:rsidRPr="007B3FB5">
        <w:rPr>
          <w:rFonts w:ascii="Times New Roman"/>
          <w:sz w:val="24"/>
          <w:szCs w:val="24"/>
        </w:rPr>
        <w:t>.</w:t>
      </w:r>
    </w:p>
    <w:p w14:paraId="2535BD18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19A40F0C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45E20438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0AC8AF6A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4FFE2B88" w14:textId="77777777" w:rsidR="008A4D3F" w:rsidRPr="007B3FB5" w:rsidRDefault="008A4D3F">
      <w:pPr>
        <w:jc w:val="both"/>
        <w:rPr>
          <w:rFonts w:ascii="Times New Roman"/>
          <w:sz w:val="24"/>
          <w:szCs w:val="24"/>
        </w:rPr>
      </w:pPr>
    </w:p>
    <w:p w14:paraId="64D8D8D2" w14:textId="77777777" w:rsidR="008A4D3F" w:rsidRDefault="008A4D3F">
      <w:pPr>
        <w:jc w:val="both"/>
        <w:rPr>
          <w:rFonts w:ascii="Times New Roman"/>
        </w:rPr>
      </w:pPr>
    </w:p>
    <w:sectPr w:rsidR="008A4D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126D4"/>
    <w:multiLevelType w:val="hybridMultilevel"/>
    <w:tmpl w:val="B70A9C86"/>
    <w:lvl w:ilvl="0" w:tplc="273C6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AE280DA">
      <w:start w:val="1"/>
      <w:numFmt w:val="lowerLetter"/>
      <w:lvlText w:val="%2."/>
      <w:lvlJc w:val="left"/>
      <w:pPr>
        <w:ind w:left="1440" w:hanging="360"/>
      </w:pPr>
    </w:lvl>
    <w:lvl w:ilvl="2" w:tplc="99B06EFE">
      <w:start w:val="1"/>
      <w:numFmt w:val="lowerRoman"/>
      <w:lvlText w:val="%3."/>
      <w:lvlJc w:val="right"/>
      <w:pPr>
        <w:ind w:left="2160" w:hanging="180"/>
      </w:pPr>
    </w:lvl>
    <w:lvl w:ilvl="3" w:tplc="9A58BB28">
      <w:start w:val="1"/>
      <w:numFmt w:val="decimal"/>
      <w:lvlText w:val="%4."/>
      <w:lvlJc w:val="left"/>
      <w:pPr>
        <w:ind w:left="2880" w:hanging="360"/>
      </w:pPr>
    </w:lvl>
    <w:lvl w:ilvl="4" w:tplc="828A6586">
      <w:start w:val="1"/>
      <w:numFmt w:val="lowerLetter"/>
      <w:lvlText w:val="%5."/>
      <w:lvlJc w:val="left"/>
      <w:pPr>
        <w:ind w:left="3600" w:hanging="360"/>
      </w:pPr>
    </w:lvl>
    <w:lvl w:ilvl="5" w:tplc="219A97F6">
      <w:start w:val="1"/>
      <w:numFmt w:val="lowerRoman"/>
      <w:lvlText w:val="%6."/>
      <w:lvlJc w:val="right"/>
      <w:pPr>
        <w:ind w:left="4320" w:hanging="180"/>
      </w:pPr>
    </w:lvl>
    <w:lvl w:ilvl="6" w:tplc="318AE882">
      <w:start w:val="1"/>
      <w:numFmt w:val="decimal"/>
      <w:lvlText w:val="%7."/>
      <w:lvlJc w:val="left"/>
      <w:pPr>
        <w:ind w:left="5040" w:hanging="360"/>
      </w:pPr>
    </w:lvl>
    <w:lvl w:ilvl="7" w:tplc="4BC414DC">
      <w:start w:val="1"/>
      <w:numFmt w:val="lowerLetter"/>
      <w:lvlText w:val="%8."/>
      <w:lvlJc w:val="left"/>
      <w:pPr>
        <w:ind w:left="5760" w:hanging="360"/>
      </w:pPr>
    </w:lvl>
    <w:lvl w:ilvl="8" w:tplc="9ECC64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FA1"/>
    <w:multiLevelType w:val="hybridMultilevel"/>
    <w:tmpl w:val="919EDBD6"/>
    <w:lvl w:ilvl="0" w:tplc="5CCE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45356">
      <w:start w:val="1"/>
      <w:numFmt w:val="lowerLetter"/>
      <w:lvlText w:val="%2."/>
      <w:lvlJc w:val="left"/>
      <w:pPr>
        <w:ind w:left="1440" w:hanging="360"/>
      </w:pPr>
    </w:lvl>
    <w:lvl w:ilvl="2" w:tplc="90440B60">
      <w:start w:val="1"/>
      <w:numFmt w:val="lowerRoman"/>
      <w:lvlText w:val="%3."/>
      <w:lvlJc w:val="right"/>
      <w:pPr>
        <w:ind w:left="2160" w:hanging="180"/>
      </w:pPr>
    </w:lvl>
    <w:lvl w:ilvl="3" w:tplc="CA165DC8">
      <w:start w:val="1"/>
      <w:numFmt w:val="decimal"/>
      <w:lvlText w:val="%4."/>
      <w:lvlJc w:val="left"/>
      <w:pPr>
        <w:ind w:left="2880" w:hanging="360"/>
      </w:pPr>
    </w:lvl>
    <w:lvl w:ilvl="4" w:tplc="41E67810">
      <w:start w:val="1"/>
      <w:numFmt w:val="lowerLetter"/>
      <w:lvlText w:val="%5."/>
      <w:lvlJc w:val="left"/>
      <w:pPr>
        <w:ind w:left="3600" w:hanging="360"/>
      </w:pPr>
    </w:lvl>
    <w:lvl w:ilvl="5" w:tplc="95660E40">
      <w:start w:val="1"/>
      <w:numFmt w:val="lowerRoman"/>
      <w:lvlText w:val="%6."/>
      <w:lvlJc w:val="right"/>
      <w:pPr>
        <w:ind w:left="4320" w:hanging="180"/>
      </w:pPr>
    </w:lvl>
    <w:lvl w:ilvl="6" w:tplc="F9B8BB44">
      <w:start w:val="1"/>
      <w:numFmt w:val="decimal"/>
      <w:lvlText w:val="%7."/>
      <w:lvlJc w:val="left"/>
      <w:pPr>
        <w:ind w:left="5040" w:hanging="360"/>
      </w:pPr>
    </w:lvl>
    <w:lvl w:ilvl="7" w:tplc="AD9238DC">
      <w:start w:val="1"/>
      <w:numFmt w:val="lowerLetter"/>
      <w:lvlText w:val="%8."/>
      <w:lvlJc w:val="left"/>
      <w:pPr>
        <w:ind w:left="5760" w:hanging="360"/>
      </w:pPr>
    </w:lvl>
    <w:lvl w:ilvl="8" w:tplc="B78CF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B6431"/>
    <w:multiLevelType w:val="hybridMultilevel"/>
    <w:tmpl w:val="082CEB10"/>
    <w:lvl w:ilvl="0" w:tplc="7EBED8B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829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8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4C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0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C9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CD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03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4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00"/>
    <w:rsid w:val="000066DE"/>
    <w:rsid w:val="0009148E"/>
    <w:rsid w:val="00092DF6"/>
    <w:rsid w:val="001108D4"/>
    <w:rsid w:val="001153E6"/>
    <w:rsid w:val="0018554B"/>
    <w:rsid w:val="001B60E9"/>
    <w:rsid w:val="001F2420"/>
    <w:rsid w:val="00274EE2"/>
    <w:rsid w:val="002C4CF2"/>
    <w:rsid w:val="002F18C0"/>
    <w:rsid w:val="003162DC"/>
    <w:rsid w:val="00326486"/>
    <w:rsid w:val="0033377E"/>
    <w:rsid w:val="003348A8"/>
    <w:rsid w:val="00337ABC"/>
    <w:rsid w:val="003619E0"/>
    <w:rsid w:val="00380C0A"/>
    <w:rsid w:val="003C2521"/>
    <w:rsid w:val="003C5725"/>
    <w:rsid w:val="003C6E04"/>
    <w:rsid w:val="00404DEA"/>
    <w:rsid w:val="00434D5E"/>
    <w:rsid w:val="00456545"/>
    <w:rsid w:val="004649A9"/>
    <w:rsid w:val="004B0F20"/>
    <w:rsid w:val="004D30D1"/>
    <w:rsid w:val="004D460E"/>
    <w:rsid w:val="004F3BD7"/>
    <w:rsid w:val="00533AD5"/>
    <w:rsid w:val="00595269"/>
    <w:rsid w:val="005B6A4B"/>
    <w:rsid w:val="00655609"/>
    <w:rsid w:val="00686F61"/>
    <w:rsid w:val="006A2C00"/>
    <w:rsid w:val="006A3A46"/>
    <w:rsid w:val="007B3FB5"/>
    <w:rsid w:val="007C1FCA"/>
    <w:rsid w:val="00871DC9"/>
    <w:rsid w:val="00893C08"/>
    <w:rsid w:val="008A4D3F"/>
    <w:rsid w:val="008B496F"/>
    <w:rsid w:val="00917597"/>
    <w:rsid w:val="0092124B"/>
    <w:rsid w:val="00960ECA"/>
    <w:rsid w:val="009B3146"/>
    <w:rsid w:val="009D1ED9"/>
    <w:rsid w:val="00A03B73"/>
    <w:rsid w:val="00A44315"/>
    <w:rsid w:val="00AE1EB8"/>
    <w:rsid w:val="00AF49E4"/>
    <w:rsid w:val="00B3363E"/>
    <w:rsid w:val="00B468C9"/>
    <w:rsid w:val="00BA34AF"/>
    <w:rsid w:val="00BD0D13"/>
    <w:rsid w:val="00C260CA"/>
    <w:rsid w:val="00C4501D"/>
    <w:rsid w:val="00CF674B"/>
    <w:rsid w:val="00D12C0A"/>
    <w:rsid w:val="00D556A3"/>
    <w:rsid w:val="00DA2C7B"/>
    <w:rsid w:val="00DB75BC"/>
    <w:rsid w:val="00DF672E"/>
    <w:rsid w:val="00E47882"/>
    <w:rsid w:val="00E73613"/>
    <w:rsid w:val="00EA3CA5"/>
    <w:rsid w:val="00EB4DE0"/>
    <w:rsid w:val="00F24E9D"/>
    <w:rsid w:val="00F27AD8"/>
    <w:rsid w:val="00F95E02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F6A"/>
  <w15:docId w15:val="{36384485-00B2-4A2B-805D-87C9F21D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B3FB5"/>
    <w:pPr>
      <w:keepNext/>
      <w:outlineLvl w:val="0"/>
    </w:pPr>
    <w:rPr>
      <w:rFonts w:ascii="Arial" w:hAnsi="Arial" w:cs="Arial"/>
      <w:b/>
      <w:bCs/>
      <w:i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7B3FB5"/>
    <w:pPr>
      <w:keepNext/>
      <w:outlineLvl w:val="1"/>
    </w:pPr>
    <w:rPr>
      <w:rFonts w:ascii="Arial" w:hAnsi="Arial" w:cs="Arial"/>
      <w:i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B3FB5"/>
    <w:rPr>
      <w:rFonts w:ascii="Arial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7B3FB5"/>
    <w:rPr>
      <w:rFonts w:ascii="Arial" w:hAnsi="Arial" w:cs="Arial"/>
      <w:i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14</cp:revision>
  <cp:lastPrinted>2021-01-21T12:42:00Z</cp:lastPrinted>
  <dcterms:created xsi:type="dcterms:W3CDTF">2020-11-20T08:33:00Z</dcterms:created>
  <dcterms:modified xsi:type="dcterms:W3CDTF">2021-01-21T12:45:00Z</dcterms:modified>
</cp:coreProperties>
</file>